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441" w:rsidRPr="00CE7441" w:rsidRDefault="00CE7441" w:rsidP="00CE7441">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B</w:t>
      </w:r>
      <w:r w:rsidRPr="00CE7441">
        <w:rPr>
          <w:rFonts w:ascii="Calibri" w:eastAsia="Times New Roman" w:hAnsi="Calibri" w:cs="Calibri"/>
          <w:color w:val="000000"/>
          <w:sz w:val="22"/>
          <w:szCs w:val="22"/>
          <w:lang w:eastAsia="fr-FR"/>
        </w:rPr>
        <w:t>onjour Monsieur le Député,</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 xml:space="preserve">Je vous contact </w:t>
      </w:r>
      <w:r w:rsidRPr="00CE7441">
        <w:rPr>
          <w:rFonts w:ascii="Calibri" w:eastAsia="Times New Roman" w:hAnsi="Calibri" w:cs="Calibri"/>
          <w:color w:val="000000"/>
          <w:sz w:val="22"/>
          <w:szCs w:val="22"/>
          <w:lang w:eastAsia="fr-FR"/>
        </w:rPr>
        <w:t>dans le cadre du </w:t>
      </w:r>
      <w:r w:rsidRPr="00CE7441">
        <w:rPr>
          <w:rFonts w:ascii="Calibri" w:eastAsia="Times New Roman" w:hAnsi="Calibri" w:cs="Calibri"/>
          <w:b/>
          <w:bCs/>
          <w:color w:val="000000"/>
          <w:sz w:val="22"/>
          <w:szCs w:val="22"/>
          <w:lang w:eastAsia="fr-FR"/>
        </w:rPr>
        <w:t>Projet de Loi de Finances 2020</w:t>
      </w:r>
      <w:r w:rsidRPr="00CE7441">
        <w:rPr>
          <w:rFonts w:ascii="Calibri" w:eastAsia="Times New Roman" w:hAnsi="Calibri" w:cs="Calibri"/>
          <w:color w:val="000000"/>
          <w:sz w:val="22"/>
          <w:szCs w:val="22"/>
          <w:lang w:eastAsia="fr-FR"/>
        </w:rPr>
        <w:t> s’agissant de la Taxe à l’essieu pour solliciter votre soutien à la suite du vote au Sénat de l’amendement </w:t>
      </w:r>
      <w:r w:rsidRPr="00CE7441">
        <w:rPr>
          <w:rFonts w:ascii="Calibri" w:eastAsia="Times New Roman" w:hAnsi="Calibri" w:cs="Calibri"/>
          <w:b/>
          <w:bCs/>
          <w:color w:val="000000"/>
          <w:sz w:val="22"/>
          <w:szCs w:val="22"/>
          <w:lang w:eastAsia="fr-FR"/>
        </w:rPr>
        <w:t>N°II-1094, </w:t>
      </w:r>
      <w:r w:rsidRPr="00CE7441">
        <w:rPr>
          <w:rFonts w:ascii="Calibri" w:eastAsia="Times New Roman" w:hAnsi="Calibri" w:cs="Calibri"/>
          <w:color w:val="000000"/>
          <w:sz w:val="22"/>
          <w:szCs w:val="22"/>
          <w:lang w:eastAsia="fr-FR"/>
        </w:rPr>
        <w:t>le 4 décembre 2019, qu’il conviendrait de maintenir lors du vote en deuxième lecture devant l’Assemblée Nationale (voir : </w:t>
      </w:r>
      <w:hyperlink r:id="rId4" w:history="1">
        <w:r w:rsidRPr="00CE7441">
          <w:rPr>
            <w:rFonts w:ascii="Calibri" w:eastAsia="Times New Roman" w:hAnsi="Calibri" w:cs="Calibri"/>
            <w:color w:val="954F72"/>
            <w:sz w:val="22"/>
            <w:szCs w:val="22"/>
            <w:u w:val="single"/>
            <w:lang w:eastAsia="fr-FR"/>
          </w:rPr>
          <w:t>http://www.senat.fr/enseance/2019-2020/139/Amdt_II-1094.html</w:t>
        </w:r>
      </w:hyperlink>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Je vous rappelle que le problème n’est réglé que pour les véhicules Poids-Lourds de collection de plus de 30 ans.</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En revanche, déjà l’année dernière nous demandions 2 choses,</w:t>
      </w:r>
      <w:bookmarkStart w:id="0" w:name="_GoBack"/>
      <w:bookmarkEnd w:id="0"/>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d’une part, l’exonération de la taxe à l’essieu pour les PL de collection de plus de 30 ans ;</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et d’autre part, </w:t>
      </w:r>
      <w:r w:rsidRPr="00CE7441">
        <w:rPr>
          <w:rFonts w:ascii="Calibri" w:eastAsia="Times New Roman" w:hAnsi="Calibri" w:cs="Calibri"/>
          <w:color w:val="000000"/>
          <w:sz w:val="22"/>
          <w:szCs w:val="22"/>
          <w:u w:val="single"/>
          <w:lang w:eastAsia="fr-FR"/>
        </w:rPr>
        <w:t>soit l’exonération soit le rétablissement du tarif journalier pour les</w:t>
      </w:r>
      <w:r w:rsidRPr="00CE7441">
        <w:rPr>
          <w:rFonts w:ascii="Calibri" w:eastAsia="Times New Roman" w:hAnsi="Calibri" w:cs="Calibri"/>
          <w:color w:val="000000"/>
          <w:sz w:val="22"/>
          <w:szCs w:val="22"/>
          <w:lang w:eastAsia="fr-FR"/>
        </w:rPr>
        <w:t> </w:t>
      </w:r>
      <w:r w:rsidRPr="00CE7441">
        <w:rPr>
          <w:rFonts w:ascii="Calibri" w:eastAsia="Times New Roman" w:hAnsi="Calibri" w:cs="Calibri"/>
          <w:b/>
          <w:bCs/>
          <w:color w:val="000000"/>
          <w:sz w:val="22"/>
          <w:szCs w:val="22"/>
          <w:u w:val="single"/>
          <w:lang w:eastAsia="fr-FR"/>
        </w:rPr>
        <w:t>PL de plus de 10 ans</w:t>
      </w:r>
      <w:r w:rsidRPr="00CE7441">
        <w:rPr>
          <w:rFonts w:ascii="Calibri" w:eastAsia="Times New Roman" w:hAnsi="Calibri" w:cs="Calibri"/>
          <w:b/>
          <w:bCs/>
          <w:color w:val="000000"/>
          <w:sz w:val="22"/>
          <w:szCs w:val="22"/>
          <w:lang w:eastAsia="fr-FR"/>
        </w:rPr>
        <w:t> </w:t>
      </w:r>
      <w:r w:rsidRPr="00CE7441">
        <w:rPr>
          <w:rFonts w:ascii="Calibri" w:eastAsia="Times New Roman" w:hAnsi="Calibri" w:cs="Calibri"/>
          <w:color w:val="000000"/>
          <w:sz w:val="22"/>
          <w:szCs w:val="22"/>
          <w:u w:val="single"/>
          <w:lang w:eastAsia="fr-FR"/>
        </w:rPr>
        <w:t>(young timer)</w:t>
      </w:r>
      <w:r>
        <w:rPr>
          <w:rFonts w:ascii="Calibri" w:eastAsia="Times New Roman" w:hAnsi="Calibri" w:cs="Calibri"/>
          <w:color w:val="000000"/>
          <w:sz w:val="22"/>
          <w:szCs w:val="22"/>
          <w:u w:val="single"/>
          <w:lang w:eastAsia="fr-FR"/>
        </w:rPr>
        <w:t xml:space="preserve"> </w:t>
      </w:r>
      <w:r w:rsidRPr="00CE7441">
        <w:rPr>
          <w:rFonts w:ascii="Calibri" w:eastAsia="Times New Roman" w:hAnsi="Calibri" w:cs="Calibri"/>
          <w:color w:val="000000"/>
          <w:sz w:val="22"/>
          <w:szCs w:val="22"/>
          <w:u w:val="single"/>
          <w:lang w:eastAsia="fr-FR"/>
        </w:rPr>
        <w:t>et</w:t>
      </w:r>
      <w:r>
        <w:rPr>
          <w:rFonts w:ascii="Calibri" w:eastAsia="Times New Roman" w:hAnsi="Calibri" w:cs="Calibri"/>
          <w:color w:val="000000"/>
          <w:sz w:val="22"/>
          <w:szCs w:val="22"/>
          <w:u w:val="single"/>
          <w:lang w:eastAsia="fr-FR"/>
        </w:rPr>
        <w:t xml:space="preserve"> </w:t>
      </w:r>
      <w:r w:rsidRPr="00CE7441">
        <w:rPr>
          <w:rFonts w:ascii="Calibri" w:eastAsia="Times New Roman" w:hAnsi="Calibri" w:cs="Calibri"/>
          <w:color w:val="000000"/>
          <w:sz w:val="22"/>
          <w:szCs w:val="22"/>
          <w:u w:val="single"/>
          <w:lang w:eastAsia="fr-FR"/>
        </w:rPr>
        <w:t>les</w:t>
      </w:r>
      <w:r w:rsidRPr="00CE7441">
        <w:rPr>
          <w:rFonts w:ascii="Calibri" w:eastAsia="Times New Roman" w:hAnsi="Calibri" w:cs="Calibri"/>
          <w:color w:val="000000"/>
          <w:sz w:val="22"/>
          <w:szCs w:val="22"/>
          <w:lang w:eastAsia="fr-FR"/>
        </w:rPr>
        <w:t> </w:t>
      </w:r>
      <w:r w:rsidRPr="00CE7441">
        <w:rPr>
          <w:rFonts w:ascii="Calibri" w:eastAsia="Times New Roman" w:hAnsi="Calibri" w:cs="Calibri"/>
          <w:b/>
          <w:bCs/>
          <w:color w:val="000000"/>
          <w:sz w:val="22"/>
          <w:szCs w:val="22"/>
          <w:u w:val="single"/>
          <w:lang w:eastAsia="fr-FR"/>
        </w:rPr>
        <w:t>Porte-Engins</w:t>
      </w:r>
      <w:r w:rsidRPr="00CE7441">
        <w:rPr>
          <w:rFonts w:ascii="Calibri" w:eastAsia="Times New Roman" w:hAnsi="Calibri" w:cs="Calibri"/>
          <w:color w:val="000000"/>
          <w:sz w:val="22"/>
          <w:szCs w:val="22"/>
          <w:lang w:eastAsia="fr-FR"/>
        </w:rPr>
        <w:t> </w:t>
      </w:r>
      <w:r w:rsidRPr="00CE7441">
        <w:rPr>
          <w:rFonts w:ascii="Calibri" w:eastAsia="Times New Roman" w:hAnsi="Calibri" w:cs="Calibri"/>
          <w:color w:val="000000"/>
          <w:sz w:val="22"/>
          <w:szCs w:val="22"/>
          <w:u w:val="single"/>
          <w:lang w:eastAsia="fr-FR"/>
        </w:rPr>
        <w:t>détenus par les collectionneurs qui sont utilisés à titre personnel, occasionnel et non-commercial</w:t>
      </w:r>
      <w:r w:rsidRPr="00CE7441">
        <w:rPr>
          <w:rFonts w:ascii="Calibri" w:eastAsia="Times New Roman" w:hAnsi="Calibri" w:cs="Calibri"/>
          <w:color w:val="000000"/>
          <w:sz w:val="22"/>
          <w:szCs w:val="22"/>
          <w:lang w:eastAsia="fr-FR"/>
        </w:rPr>
        <w:t> pour se rendre aux différentes manifestations culturelles auxquelles ils participent, et ce afin d’éviter de rouler sur la route avec leurs vieux véhicules de plus de 30 ans, qui sont lents, consomment beaucoup d’essence, polluent un peu plus et tombent plus facilement en panne.</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L’objet de l’amendements voté au Sénat est donc d’obtenir enfin le deuxième volet de nos demandes en plus du premier volet qui est restrictif par rapport aux besoins exprimés par les collectionneurs de poids-lourds anciens et qui constitue un coût extrêmement important pour de simples particuliers non-professionnel de la route.</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Je vous prie de trouver ci-dessous les évolutions qui justifient notre demande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16"/>
          <w:szCs w:val="16"/>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Article 284 ter du code des douanes dans sa version antérieure au 1</w:t>
      </w:r>
      <w:r w:rsidRPr="00CE7441">
        <w:rPr>
          <w:rFonts w:ascii="Calibri" w:eastAsia="Times New Roman" w:hAnsi="Calibri" w:cs="Calibri"/>
          <w:color w:val="000000"/>
          <w:sz w:val="22"/>
          <w:szCs w:val="22"/>
          <w:vertAlign w:val="superscript"/>
          <w:lang w:eastAsia="fr-FR"/>
        </w:rPr>
        <w:t>er</w:t>
      </w:r>
      <w:r w:rsidRPr="00CE7441">
        <w:rPr>
          <w:rFonts w:ascii="Calibri" w:eastAsia="Times New Roman" w:hAnsi="Calibri" w:cs="Calibri"/>
          <w:color w:val="000000"/>
          <w:sz w:val="22"/>
          <w:szCs w:val="22"/>
          <w:lang w:eastAsia="fr-FR"/>
        </w:rPr>
        <w:t> juillet 2016 prévoyant expressément : « </w:t>
      </w:r>
      <w:r w:rsidRPr="00CE7441">
        <w:rPr>
          <w:rFonts w:ascii="Calibri" w:eastAsia="Times New Roman" w:hAnsi="Calibri" w:cs="Calibri"/>
          <w:b/>
          <w:bCs/>
          <w:i/>
          <w:iCs/>
          <w:color w:val="000000"/>
          <w:sz w:val="22"/>
          <w:szCs w:val="22"/>
          <w:lang w:eastAsia="fr-FR"/>
        </w:rPr>
        <w:t>La taxe peut être payée sur la base d'un </w:t>
      </w:r>
      <w:r w:rsidRPr="00CE7441">
        <w:rPr>
          <w:rFonts w:ascii="Calibri" w:eastAsia="Times New Roman" w:hAnsi="Calibri" w:cs="Calibri"/>
          <w:b/>
          <w:bCs/>
          <w:i/>
          <w:iCs/>
          <w:color w:val="000000"/>
          <w:sz w:val="22"/>
          <w:szCs w:val="22"/>
          <w:u w:val="single"/>
          <w:lang w:eastAsia="fr-FR"/>
        </w:rPr>
        <w:t>tarif journalier</w:t>
      </w:r>
      <w:r w:rsidRPr="00CE7441">
        <w:rPr>
          <w:rFonts w:ascii="Calibri" w:eastAsia="Times New Roman" w:hAnsi="Calibri" w:cs="Calibri"/>
          <w:b/>
          <w:bCs/>
          <w:i/>
          <w:iCs/>
          <w:color w:val="000000"/>
          <w:sz w:val="22"/>
          <w:szCs w:val="22"/>
          <w:lang w:eastAsia="fr-FR"/>
        </w:rPr>
        <w:t> égal au vingt-cinquième du tarif trimestriel.</w:t>
      </w:r>
      <w:r w:rsidRPr="00CE7441">
        <w:rPr>
          <w:rFonts w:ascii="Calibri" w:eastAsia="Times New Roman" w:hAnsi="Calibri" w:cs="Calibri"/>
          <w:color w:val="000000"/>
          <w:sz w:val="22"/>
          <w:szCs w:val="22"/>
          <w:lang w:eastAsia="fr-FR"/>
        </w:rPr>
        <w:t> » avec des montants deux fois plus bas (</w:t>
      </w:r>
      <w:hyperlink r:id="rId5" w:tooltip="https://www.legifrance.gouv.fr/affichCodeArticle.do;jsessionid=2A1CCFC4F7D2781B07334917FE2F3C6A.tplgfr21s_1?idArticle=LEGIARTI000020011815&amp;cidTexte=LEGITEXT000006071570&amp;dateTexte=20100925" w:history="1">
        <w:r w:rsidRPr="00CE7441">
          <w:rPr>
            <w:rFonts w:ascii="Calibri" w:eastAsia="Times New Roman" w:hAnsi="Calibri" w:cs="Calibri"/>
            <w:color w:val="954F72"/>
            <w:sz w:val="22"/>
            <w:szCs w:val="22"/>
            <w:u w:val="single"/>
            <w:lang w:eastAsia="fr-FR"/>
          </w:rPr>
          <w:t>https://www.legifrance.gouv.fr/affichCodeArticle.do;jsessionid=2A1CCFC4F7D2781B07334917FE2F3C6A.tplgfr21s_1?idArticle=LEGIARTI000020011815&amp;cidTexte=LEGITEXT000006071570&amp;dateTexte=20100925</w:t>
        </w:r>
      </w:hyperlink>
      <w:r w:rsidRPr="00CE7441">
        <w:rPr>
          <w:rFonts w:ascii="Calibri" w:eastAsia="Times New Roman" w:hAnsi="Calibri" w:cs="Calibri"/>
          <w:color w:val="000000"/>
          <w:sz w:val="22"/>
          <w:szCs w:val="22"/>
          <w:lang w:eastAsia="fr-FR"/>
        </w:rPr>
        <w:t> )</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voir aussi les articles du code des douanes relatifs</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à la taxe à l’essieu durant cette période (</w:t>
      </w:r>
      <w:hyperlink r:id="rId6" w:tooltip="https://www.legifrance.gouv.fr/affichCode.do;jsessionid=2A1CCFC4F7D2781B07334917FE2F3C6A.tplgfr21s_1?idSectionTA=LEGISCTA000006122063&amp;cidTexte=LEGITEXT000006071570&amp;dateTexte=20100925" w:history="1">
        <w:r w:rsidRPr="00CE7441">
          <w:rPr>
            <w:rFonts w:ascii="Calibri" w:eastAsia="Times New Roman" w:hAnsi="Calibri" w:cs="Calibri"/>
            <w:color w:val="954F72"/>
            <w:sz w:val="22"/>
            <w:szCs w:val="22"/>
            <w:u w:val="single"/>
            <w:lang w:eastAsia="fr-FR"/>
          </w:rPr>
          <w:t>https://www.legifrance.gouv.fr/affichCode.do;jsessionid=2A1CCFC4F7D2781B07334917FE2F3C6A.tplgfr21s_1?idSectionTA=LEGISCTA000006122063&amp;cidTexte=LEGITEXT000006071570&amp;dateTexte=20100925</w:t>
        </w:r>
      </w:hyperlink>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Article 284 ter du code des douanes dans sa version postérieure au 1</w:t>
      </w:r>
      <w:r w:rsidRPr="00CE7441">
        <w:rPr>
          <w:rFonts w:ascii="Calibri" w:eastAsia="Times New Roman" w:hAnsi="Calibri" w:cs="Calibri"/>
          <w:color w:val="000000"/>
          <w:sz w:val="22"/>
          <w:szCs w:val="22"/>
          <w:vertAlign w:val="superscript"/>
          <w:lang w:eastAsia="fr-FR"/>
        </w:rPr>
        <w:t>er</w:t>
      </w:r>
      <w:r w:rsidRPr="00CE7441">
        <w:rPr>
          <w:rFonts w:ascii="Calibri" w:eastAsia="Times New Roman" w:hAnsi="Calibri" w:cs="Calibri"/>
          <w:color w:val="000000"/>
          <w:sz w:val="22"/>
          <w:szCs w:val="22"/>
          <w:lang w:eastAsia="fr-FR"/>
        </w:rPr>
        <w:t> juillet 2016 et au 1</w:t>
      </w:r>
      <w:r w:rsidRPr="00CE7441">
        <w:rPr>
          <w:rFonts w:ascii="Calibri" w:eastAsia="Times New Roman" w:hAnsi="Calibri" w:cs="Calibri"/>
          <w:color w:val="000000"/>
          <w:sz w:val="22"/>
          <w:szCs w:val="22"/>
          <w:vertAlign w:val="superscript"/>
          <w:lang w:eastAsia="fr-FR"/>
        </w:rPr>
        <w:t>er</w:t>
      </w:r>
      <w:r w:rsidRPr="00CE7441">
        <w:rPr>
          <w:rFonts w:ascii="Calibri" w:eastAsia="Times New Roman" w:hAnsi="Calibri" w:cs="Calibri"/>
          <w:color w:val="000000"/>
          <w:sz w:val="22"/>
          <w:szCs w:val="22"/>
          <w:lang w:eastAsia="fr-FR"/>
        </w:rPr>
        <w:t> janvier 2019 supprimant le tarif journalier et exonérant les Poids lourds de collection de plus de 30 ans mais pas ceux de plus de 10 ans ou encore les poids lourds (ex : porte-engins) détenus par un particulier non professionnel pour son usage personnel, occasionnel et non commercial afin de transporter son propre véhicule de collection pour se rendre à une manifestation culturelle (</w:t>
      </w:r>
      <w:hyperlink r:id="rId7" w:tooltip="https://www.legifrance.gouv.fr/affichCodeArticle.do;jsessionid=2A1CCFC4F7D2781B07334917FE2F3C6A.tplgfr21s_1?idArticle=LEGIARTI000037986566&amp;cidTexte=LEGITEXT000006071570&amp;dateTexte=20190925" w:history="1">
        <w:r w:rsidRPr="00CE7441">
          <w:rPr>
            <w:rFonts w:ascii="Calibri" w:eastAsia="Times New Roman" w:hAnsi="Calibri" w:cs="Calibri"/>
            <w:color w:val="954F72"/>
            <w:sz w:val="22"/>
            <w:szCs w:val="22"/>
            <w:u w:val="single"/>
            <w:lang w:eastAsia="fr-FR"/>
          </w:rPr>
          <w:t>https://www.legifrance.gouv.fr/affichCodeArticle.do;jsessionid=2A1CCFC4F7D2781B07334917FE2F3C6A.tplgfr21s_1?idArticle=LEGIARTI000037986566&amp;cidTexte=LEGITEXT000006071570&amp;dateTexte=20190925</w:t>
        </w:r>
      </w:hyperlink>
      <w:r w:rsidRPr="00CE7441">
        <w:rPr>
          <w:rFonts w:ascii="Calibri" w:eastAsia="Times New Roman" w:hAnsi="Calibri" w:cs="Calibri"/>
          <w:color w:val="000000"/>
          <w:sz w:val="22"/>
          <w:szCs w:val="22"/>
          <w:lang w:eastAsia="fr-FR"/>
        </w:rPr>
        <w:t> ) voir aussi les articles du code des douanes relatifs</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à la taxe à l’essieu désormais applicables (</w:t>
      </w:r>
      <w:hyperlink r:id="rId8" w:tooltip="https://www.legifrance.gouv.fr/affichCode.do;jsessionid=2A1CCFC4F7D2781B07334917FE2F3C6A.tplgfr21s_1?idSectionTA=LEGISCTA000006122063&amp;cidTexte=LEGITEXT000006071570&amp;dateTexte=20190925" w:history="1">
        <w:r w:rsidRPr="00CE7441">
          <w:rPr>
            <w:rFonts w:ascii="Calibri" w:eastAsia="Times New Roman" w:hAnsi="Calibri" w:cs="Calibri"/>
            <w:color w:val="954F72"/>
            <w:sz w:val="22"/>
            <w:szCs w:val="22"/>
            <w:u w:val="single"/>
            <w:lang w:eastAsia="fr-FR"/>
          </w:rPr>
          <w:t>https://www.legifrance.gouv.fr/affichCode.do;jsessionid=2A1CCFC4F7D2781B07334917FE2F3C6A.tplgfr21s_1?idSectionTA=LEGISCTA000006122063&amp;cidTexte=LEGITEXT000006071570&amp;dateTexte=20190925</w:t>
        </w:r>
      </w:hyperlink>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Vous constaterez, notamment, dans la colonne « TARIFS PAR SEMESTRE » « Autres systèmes de suspension de l'(des) essieu (x) moteur (s) » à la ligne « Semi-remorque à deux essieux » de </w:t>
      </w:r>
      <w:r w:rsidRPr="00CE7441">
        <w:rPr>
          <w:rFonts w:ascii="Calibri" w:eastAsia="Times New Roman" w:hAnsi="Calibri" w:cs="Calibri"/>
          <w:color w:val="000000"/>
          <w:sz w:val="22"/>
          <w:szCs w:val="22"/>
          <w:u w:val="single"/>
          <w:lang w:eastAsia="fr-FR"/>
        </w:rPr>
        <w:t>l’article 284 ter du code des douanes</w:t>
      </w:r>
      <w:r w:rsidRPr="00CE7441">
        <w:rPr>
          <w:rFonts w:ascii="Calibri" w:eastAsia="Times New Roman" w:hAnsi="Calibri" w:cs="Calibri"/>
          <w:color w:val="000000"/>
          <w:sz w:val="22"/>
          <w:szCs w:val="22"/>
          <w:lang w:eastAsia="fr-FR"/>
        </w:rPr>
        <w:t>, qu’aujourd’hui le montant à payer peut atteindre 466 € par semestre,</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u w:val="single"/>
          <w:lang w:eastAsia="fr-FR"/>
        </w:rPr>
        <w:t>soit 932 € par an</w:t>
      </w:r>
      <w:r w:rsidRPr="00CE7441">
        <w:rPr>
          <w:rFonts w:ascii="Calibri" w:eastAsia="Times New Roman" w:hAnsi="Calibri" w:cs="Calibri"/>
          <w:color w:val="000000"/>
          <w:sz w:val="22"/>
          <w:szCs w:val="22"/>
          <w:lang w:eastAsia="fr-FR"/>
        </w:rPr>
        <w:t>,</w:t>
      </w:r>
      <w:r>
        <w:rPr>
          <w:rFonts w:ascii="Calibri" w:eastAsia="Times New Roman" w:hAnsi="Calibri" w:cs="Calibri"/>
          <w:color w:val="000000"/>
          <w:sz w:val="22"/>
          <w:szCs w:val="22"/>
          <w:lang w:eastAsia="fr-FR"/>
        </w:rPr>
        <w:t xml:space="preserve"> </w:t>
      </w:r>
      <w:r w:rsidRPr="00CE7441">
        <w:rPr>
          <w:rFonts w:ascii="Calibri" w:eastAsia="Times New Roman" w:hAnsi="Calibri" w:cs="Calibri"/>
          <w:color w:val="000000"/>
          <w:sz w:val="22"/>
          <w:szCs w:val="22"/>
          <w:lang w:eastAsia="fr-FR"/>
        </w:rPr>
        <w:t xml:space="preserve">même pour un simple particulier qui n’exerce pas la profession de transporteur </w:t>
      </w:r>
      <w:r w:rsidRPr="00CE7441">
        <w:rPr>
          <w:rFonts w:ascii="Calibri" w:eastAsia="Times New Roman" w:hAnsi="Calibri" w:cs="Calibri"/>
          <w:color w:val="000000"/>
          <w:sz w:val="22"/>
          <w:szCs w:val="22"/>
          <w:lang w:eastAsia="fr-FR"/>
        </w:rPr>
        <w:lastRenderedPageBreak/>
        <w:t>routier, ce qui est totalement exorbitant et incompatible avec </w:t>
      </w:r>
      <w:r w:rsidRPr="00CE7441">
        <w:rPr>
          <w:rFonts w:ascii="Calibri" w:eastAsia="Times New Roman" w:hAnsi="Calibri" w:cs="Calibri"/>
          <w:b/>
          <w:bCs/>
          <w:color w:val="000000"/>
          <w:sz w:val="22"/>
          <w:szCs w:val="22"/>
          <w:u w:val="single"/>
          <w:lang w:eastAsia="fr-FR"/>
        </w:rPr>
        <w:t>la</w:t>
      </w:r>
      <w:r w:rsidRPr="00CE7441">
        <w:rPr>
          <w:rFonts w:ascii="Calibri" w:eastAsia="Times New Roman" w:hAnsi="Calibri" w:cs="Calibri"/>
          <w:color w:val="000000"/>
          <w:sz w:val="22"/>
          <w:szCs w:val="22"/>
          <w:lang w:eastAsia="fr-FR"/>
        </w:rPr>
        <w:t> </w:t>
      </w:r>
      <w:r w:rsidRPr="00CE7441">
        <w:rPr>
          <w:rFonts w:ascii="Calibri" w:eastAsia="Times New Roman" w:hAnsi="Calibri" w:cs="Calibri"/>
          <w:b/>
          <w:bCs/>
          <w:color w:val="000000"/>
          <w:sz w:val="22"/>
          <w:szCs w:val="22"/>
          <w:u w:val="single"/>
          <w:lang w:eastAsia="fr-FR"/>
        </w:rPr>
        <w:t>nature de « </w:t>
      </w:r>
      <w:r w:rsidRPr="00CE7441">
        <w:rPr>
          <w:rFonts w:ascii="Calibri" w:eastAsia="Times New Roman" w:hAnsi="Calibri" w:cs="Calibri"/>
          <w:b/>
          <w:bCs/>
          <w:i/>
          <w:iCs/>
          <w:color w:val="000000"/>
          <w:u w:val="single"/>
          <w:lang w:eastAsia="fr-FR"/>
        </w:rPr>
        <w:t>redevance pour usage de la route</w:t>
      </w:r>
      <w:r w:rsidRPr="00CE7441">
        <w:rPr>
          <w:rFonts w:ascii="Calibri" w:eastAsia="Times New Roman" w:hAnsi="Calibri" w:cs="Calibri"/>
          <w:b/>
          <w:bCs/>
          <w:color w:val="000000"/>
          <w:sz w:val="22"/>
          <w:szCs w:val="22"/>
          <w:u w:val="single"/>
          <w:lang w:eastAsia="fr-FR"/>
        </w:rPr>
        <w:t> » de la taxe à l’essieu</w:t>
      </w:r>
      <w:r w:rsidRPr="00CE7441">
        <w:rPr>
          <w:rFonts w:ascii="Calibri" w:eastAsia="Times New Roman" w:hAnsi="Calibri" w:cs="Calibri"/>
          <w:b/>
          <w:bCs/>
          <w:color w:val="000000"/>
          <w:sz w:val="22"/>
          <w:szCs w:val="22"/>
          <w:lang w:eastAsia="fr-FR"/>
        </w:rPr>
        <w:t>.</w:t>
      </w: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D’autant plus, qu’un collectionneur ayant son propre porte-engins ou camion de collection de plus de 10 ans ne sort que 4 à 6 fois par an essentiellement entre avril et novembre pour de faibles distances, tandis que les professionnels de la route eux font plusieurs centaines de milliers de kilomètre par an. Il y a donc bien ici une forme d’inégalité de traitement, les citoyens payant déjà par leurs impôts le droit d’utiliser les routes (hors autoroutes) pour leur usage non commercial.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A ce titre, il apparaît assez simple de vérifier que le véhicule transporté (immatriculé) appartient bien au propriétaire du porte-engins (lui-même immatriculé) en vérifiant les cartes grises des deux véhicules.</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 </w:t>
      </w:r>
    </w:p>
    <w:p w:rsidR="00CE7441" w:rsidRPr="00CE7441" w:rsidRDefault="00CE7441" w:rsidP="00CE7441">
      <w:pPr>
        <w:rPr>
          <w:rFonts w:ascii="Calibri" w:eastAsia="Times New Roman" w:hAnsi="Calibri" w:cs="Calibri"/>
          <w:color w:val="000000"/>
          <w:sz w:val="22"/>
          <w:szCs w:val="22"/>
          <w:lang w:eastAsia="fr-FR"/>
        </w:rPr>
      </w:pPr>
      <w:r w:rsidRPr="00CE7441">
        <w:rPr>
          <w:rFonts w:ascii="Calibri" w:eastAsia="Times New Roman" w:hAnsi="Calibri" w:cs="Calibri"/>
          <w:color w:val="000000"/>
          <w:sz w:val="22"/>
          <w:szCs w:val="22"/>
          <w:lang w:eastAsia="fr-FR"/>
        </w:rPr>
        <w:t>Je vous remercie par avance pour votre soutien aux collectionneurs de véhicules anciens et vous prie de croire, Monsieur le Député, en l’assurance de ma parfaite considération.</w:t>
      </w:r>
    </w:p>
    <w:p w:rsidR="00AC0930" w:rsidRDefault="00CE7441"/>
    <w:sectPr w:rsidR="00AC0930" w:rsidSect="001064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41"/>
    <w:rsid w:val="000D368B"/>
    <w:rsid w:val="001064E3"/>
    <w:rsid w:val="00726A60"/>
    <w:rsid w:val="00A36450"/>
    <w:rsid w:val="00A5477C"/>
    <w:rsid w:val="00A60059"/>
    <w:rsid w:val="00A66A23"/>
    <w:rsid w:val="00B50DAB"/>
    <w:rsid w:val="00BC268C"/>
    <w:rsid w:val="00CD6F31"/>
    <w:rsid w:val="00CE74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1C776A"/>
  <w15:chartTrackingRefBased/>
  <w15:docId w15:val="{254E8B1B-8936-4549-91AD-0B669EF2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7441"/>
  </w:style>
  <w:style w:type="character" w:styleId="Lienhypertexte">
    <w:name w:val="Hyperlink"/>
    <w:basedOn w:val="Policepardfaut"/>
    <w:uiPriority w:val="99"/>
    <w:semiHidden/>
    <w:unhideWhenUsed/>
    <w:rsid w:val="00CE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jsessionid=2A1CCFC4F7D2781B07334917FE2F3C6A.tplgfr21s_1?idSectionTA=LEGISCTA000006122063&amp;cidTexte=LEGITEXT000006071570&amp;dateTexte=20190925" TargetMode="External"/><Relationship Id="rId3" Type="http://schemas.openxmlformats.org/officeDocument/2006/relationships/webSettings" Target="webSettings.xml"/><Relationship Id="rId7" Type="http://schemas.openxmlformats.org/officeDocument/2006/relationships/hyperlink" Target="https://www.legifrance.gouv.fr/affichCodeArticle.do;jsessionid=2A1CCFC4F7D2781B07334917FE2F3C6A.tplgfr21s_1?idArticle=LEGIARTI000037986566&amp;cidTexte=LEGITEXT000006071570&amp;dateTexte=201909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do;jsessionid=2A1CCFC4F7D2781B07334917FE2F3C6A.tplgfr21s_1?idSectionTA=LEGISCTA000006122063&amp;cidTexte=LEGITEXT000006071570&amp;dateTexte=20100925" TargetMode="External"/><Relationship Id="rId5" Type="http://schemas.openxmlformats.org/officeDocument/2006/relationships/hyperlink" Target="https://www.legifrance.gouv.fr/affichCodeArticle.do;jsessionid=2A1CCFC4F7D2781B07334917FE2F3C6A.tplgfr21s_1?idArticle=LEGIARTI000020011815&amp;cidTexte=LEGITEXT000006071570&amp;dateTexte=20100925" TargetMode="External"/><Relationship Id="rId10" Type="http://schemas.openxmlformats.org/officeDocument/2006/relationships/theme" Target="theme/theme1.xml"/><Relationship Id="rId4" Type="http://schemas.openxmlformats.org/officeDocument/2006/relationships/hyperlink" Target="http://www.senat.fr/enseance/2019-2020/139/Amdt_II-1094.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977</Words>
  <Characters>5376</Characters>
  <Application>Microsoft Office Word</Application>
  <DocSecurity>0</DocSecurity>
  <Lines>44</Lines>
  <Paragraphs>12</Paragraphs>
  <ScaleCrop>false</ScaleCrop>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BUIGNE Jean-Jacques</dc:creator>
  <cp:keywords/>
  <dc:description/>
  <cp:lastModifiedBy>BUIGNE Jean-Jacques</cp:lastModifiedBy>
  <cp:revision>1</cp:revision>
  <dcterms:created xsi:type="dcterms:W3CDTF">2019-12-10T18:08:00Z</dcterms:created>
  <dcterms:modified xsi:type="dcterms:W3CDTF">2019-12-10T18:10:00Z</dcterms:modified>
</cp:coreProperties>
</file>